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toxicité d’un insecticide carbamate« méthomyl » chez le rat Wistar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Djeffal; Assia/ Universite Badji Mokhter/ Messarah, Mahfoud/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3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stress oxydant/ antioxydants/ vitamine c/ méthomyl/ cytotoxicité/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consiste à évaluer les effets protecteurs de la vitamine C et desélénium à raison de 200mg/kg et de 0.6g/100g de poids corporel, respectivement sur lacytotoxicité induite par le traitement avec un insecticide carbamate « méthomyl » à 8mg/kg depoids corporel dans l’eau de boisson chez le rat Wistar.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