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 toxicité d’un insecticide carbamate« méthomyl » chez le rat Wistar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Djeffal; Assia/ Universite Badji Mokhter/ Messarah, Mahfoud/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3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stress oxydant/ antioxydants/ vitamine c/ méthomyl/ cytotoxicité/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consiste à évaluer les effets protecteurs de la vitamine C et desélénium à raison de 200mg/kg et de 0.6g/100g de poids corporel, respectivement sur lacytotoxicité induite par le traitement avec un insecticide carbamate « méthomyl » à 8mg/kg depoids corporel dans l’eau de boisson chez le rat Wistar.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