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Sensibliité aux antitbiotiques et profil moléculaire des bactéries responsables d'infections respiratoires basses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Ramoul; Abir/ Universite Badji Mokhter/ Mazouz, Dekhil/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résistance/ BGN/ profil moléculaire/ OXA-23/ CTX-M15/ , IRB, réanimation/ </w:t>
            </w:r>
          </w:p>
        </w:tc>
      </w:tr>
    </w:tbl>
    <w:p>
      <w:pPr>
        <w:pStyle w:val="Heading3"/>
      </w:pPr>
      <w:r>
        <w:t>Résumé :</w:t>
      </w:r>
    </w:p>
    <w:p>
      <w:r>
        <w:t>L'objectif de ce travail est d'évaluer le taux, le support génétique de la résistance aux antibiotiques et l'épidémiologie moléculaire d'une série de 95 de souches bactérienne (42 souches d'entérobactéries ,23 d'A. baumannii , 22 P. aeruginosa et 8 S. aureus) responsables de  pneumonie isolées dans le laboratoire de microbiologie du centre hospitalo-universitaire,  Dr Dorban Annaba, Algérie, entre Janvier 2010 et Octobre 2011, par des techniques phénotypiques et génotypiques.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