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Facteurs biotiques  impliqués dans l'état sanitaire des subéraies du Nord-Est Algérien. Effet  des insectes ravageurs sur les feuilles et les glands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Ghanem; Rym/ Universite Badji Mokhter/ Ouakid, Med laid/ </w:t>
            </w:r>
          </w:p>
        </w:tc>
      </w:tr>
      <w:tr>
        <w:trPr>
          <w:trHeight w:val="567"/>
        </w:trPr>
        <w:tc>
          <w:tcPr>
            <w:tcW w:type="dxa" w:w="3000"/>
          </w:tcPr>
          <w:p>
            <w:r>
              <w:t>Nombre de Pages</w:t>
            </w:r>
          </w:p>
        </w:tc>
        <w:tc>
          <w:tcPr>
            <w:tcW w:type="dxa" w:w="7000"/>
          </w:tcPr>
          <w:p>
            <w:r>
              <w:t>182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subéraie, incendie,cuccession, méthode synchronique,chêne liège,agression forestière./ germination/ dépérissement/ el-kala.carpophages/ coléoptères/ </w:t>
            </w:r>
          </w:p>
        </w:tc>
      </w:tr>
    </w:tbl>
    <w:p>
      <w:pPr>
        <w:pStyle w:val="Heading3"/>
      </w:pPr>
      <w:r>
        <w:t>Résumé :</w:t>
      </w:r>
    </w:p>
    <w:p>
      <w:r>
        <w:t>Les formations de chêne-liège (Quercus suber) en Algérie occupent une superficie entre 429 000 ha et 480 00 ha, les plus vastes massifs sont localisés à l'est du pays, région qui renferme à elle seule près de 4/5 de la subéraie algérienne. ependant, durant la  dernière décennie, des dépérissements de plus en plus accentués ont été observés par endroits. La recherche des causes et des conséquences de ces phénomènes demeure capitale.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