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vigueur des semences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Chaffai; Amin/ Brinis, Louhichi/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blé/ rendement/ sécheresse/ vigueur/ catégorie des semences/ </w:t>
            </w:r>
          </w:p>
        </w:tc>
      </w:tr>
    </w:tbl>
    <w:p>
      <w:pPr>
        <w:pStyle w:val="Heading3"/>
      </w:pPr>
      <w:r>
        <w:t>Résumé :</w:t>
      </w:r>
    </w:p>
    <w:p>
      <w:r>
        <w:t>Toute semence à forte vigueur a plus de chance de donner une plante normale et robuste avec un rendement plus élevé qu’une semence à faible vigueur. L’étude que nous proposons a été réalisée en analysant l’effet de la vigueur sur six génotypes de blé dur ; y compris leurs grosseurs, afin de vérifier s’il existe ou non une différence de vigueur entre les différentes tailles de graines au sein du même génotype considéré comme vigoureux.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