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Statut nutritonnel et plasticte de reponses aux stress chez  un modele vegetal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Ghozlene; Issaad/ Djebar, M.R/ Universite Badji Mokhter/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blé dur/ déficit hydrique/ stress oxydatif/ peroxyde d'hydrogène/ anion superoxyde/ </w:t>
            </w:r>
          </w:p>
        </w:tc>
      </w:tr>
    </w:tbl>
    <w:p>
      <w:pPr>
        <w:pStyle w:val="Heading3"/>
      </w:pPr>
      <w:r>
        <w:t>Résumé :</w:t>
      </w:r>
    </w:p>
    <w:p>
      <w:r>
        <w:t>Les plantes sont au cours de leur vie constamment confrontées à différents types de stress influant sur leur croissance. En plus des agressions causées par des organismes vivants, sources de stress biotiques, les plantes sont exposées à des variations environnementales regroupées sous le terme de stress abiotiques.Le présent travail s'intéresse à l'étude des effets  d'un déficit hydrique  sur les tiges et les racines d'un modèle végétal : le blé dur (Triticum durum) de la variété GTA. Après germination, les plantes sont soumises à un stress hydrique pendant (03/ 05 / 07 et 09 jours).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