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d'évaluation pour la protection du patrimoine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Universite Badji Mokhter/ </w:t>
            </w:r>
          </w:p>
        </w:tc>
      </w:tr>
      <w:tr>
        <w:trPr>
          <w:trHeight w:val="567"/>
        </w:trPr>
        <w:tc>
          <w:tcPr>
            <w:tcW w:type="dxa" w:w="3000"/>
          </w:tcPr>
          <w:p>
            <w:r>
              <w:t>Nombre de Pages</w:t>
            </w:r>
          </w:p>
        </w:tc>
        <w:tc>
          <w:tcPr>
            <w:tcW w:type="dxa" w:w="7000"/>
          </w:tcPr>
          <w:p>
            <w:r>
              <w:t>370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évaluation/ conservation/ Patrimoine industriel/ protection/ valeurs/ </w:t>
            </w:r>
          </w:p>
        </w:tc>
      </w:tr>
    </w:tbl>
    <w:p>
      <w:pPr>
        <w:pStyle w:val="Heading3"/>
      </w:pPr>
      <w:r>
        <w:t>Résumé :</w:t>
      </w:r>
    </w:p>
    <w:p>
      <w:r>
        <w:t>Bien que la protection du patrimoine industriel bâti soit actuellement au centre dedébats des acteurs chargés de la rotection du patrimoine au monde, elle n'a pas le mêmeécho en Algérie. Sa marginalisation par rapport aux autres atégories patrimoniales peut êtrele résultat de la méconnaissance de sa spécificité. Afin que les bâtiments et les ensemblesindustriels soient protégés ils doivent être sélectionnés et donc ils doivent justifier leur valeur.L'évaluation permet de déterminer les caractéristiques de ce patrimoine spécifique et demesurer objectivement et raisonnablement son intérêt en appliquant des critères bien précisqui lui sont spécifiques et en évitant la subjectivité et les préférences typologiques.Ce travail de recherche examine le rôle de l'évaluation dans la prise en charge de ce patrimoine spécifique en Algérie, dont on va essayer de définir le principe, de développer une méthode qui pourrait être utilisée par les services chargés de la protection du patrimoine et de vérifier son efficience en l'appliquant sur l'ensemble industriel TABACOOP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