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d'un polluant organique modéle par sonochimie et procédés d'oxydation avancés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Boutamine; Zineb/ Universite Badji Mokhter/ Hamdaou, Oulide/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dégradation/ traitement de l’eau/ basacryl red gl/ ultrason/ effets/ des conditions opératoires/ </w:t>
            </w:r>
          </w:p>
        </w:tc>
      </w:tr>
    </w:tbl>
    <w:p>
      <w:pPr>
        <w:pStyle w:val="Heading3"/>
      </w:pPr>
      <w:r>
        <w:t>Résumé :</w:t>
      </w:r>
    </w:p>
    <w:p>
      <w:r>
        <w:t>Le présent travail est focalisé sur l’élimination d’un colorant azoïque, le BasitRed 29 (BR29), en milieu aqueux par irradiation ultrasonore de haute fréquence (300kHz). L’ensemble des résultats obtenus montre l’efficacité du traitement ultrasonoredes eaux contaminées par ce colorant modèle.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