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équation differntielle fractionnaire impulsive dans un espace de banach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Bouzaroura; Asma/ Universite Badji Mokhter/ Mazouzi, Said/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conditions non locales/ Calcul fractionnaire, conditions impulsives/ théorèmes de point fixe/ problème à valeur initiale/ </w:t>
            </w:r>
          </w:p>
        </w:tc>
      </w:tr>
    </w:tbl>
    <w:p>
      <w:pPr>
        <w:pStyle w:val="Heading3"/>
      </w:pPr>
      <w:r>
        <w:t>Résumé :</w:t>
      </w:r>
    </w:p>
    <w:p>
      <w:r>
        <w:t>Au cours de ces dernières années l'étude des équations différentielles fractionnaires impulsives a fait l'objet de divers travaux de recherche.Le but de cette thèse est de contribuer au développement de cette théorie émergente, et ce en étudiant une classe d'équations différentielles d'ordres fractionnaires multiples soumises à des conditions impulsives dans des espaces de Banach. Les résultats obtenus dans ce travail sont basés sur les techniques du point fixe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