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compression de vidéo multi vues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Bekhouch; Amara/ Universite Badji Mokhter/ Doghmane,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 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bibilogr._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Accès aléatoire inter-vues/ efficacité de la compression/ corrélation temporelle/ </w:t>
            </w:r>
          </w:p>
        </w:tc>
      </w:tr>
    </w:tbl>
    <w:p>
      <w:pPr>
        <w:pStyle w:val="Heading3"/>
      </w:pPr>
      <w:r>
        <w:t>Résumé :</w:t>
      </w:r>
    </w:p>
    <w:p>
      <w:r>
        <w:t>Comme tout autre codec vidéo existant, le codage de la vidéo multi-vues nécessite une compression très efficace. Cependant, il a besoin en plus d'un accès aléatoire rapide à n'importe quelle vue donnée. Cette efficacité de la compression peut être satisfaite en exploitant simultanément la corrélation temporelle et inter-vues. Les accès aléatoires temporel et inter-vues sont améliorés par l'augmentation d‘images de type Intra-codées (les images I).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