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Study of pseudospectral methods for the solution of a monhiear dispersive ware equation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Nouri; Fatma-Zohra/ Université de Strathelyde/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Strathelyde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point-selle/ fonction courant/ Mécanique des/ .uides, Problème de Stokes/ Problème Axisymétrique, Pro-blème elliptique/ Tourbillon, Mé-
thodes spectrales.
i/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la discrétisation spectrale des équations deStokes qui régissent l.écoulement d.un .uide visqueux incompressible à faiblevitesse u dans un domaine tridimensionnel ~</w:t>
        <w:br/>
        <w:t xml:space="preserve"> invariant par rotation autourd.axe (OZ). Comme la simulation numérique à trois dimensions posera unetrès haute complexité, on pensera à la réduction dimensionnelle et ceci parl.utilisation des coordonnées cylindriques et le cas des données axisymé-triques. Notre modèle se découplera en deux systèmes bidimensionnels sé-parables, l.un deux est elliptique, l.autre est de type point -selle.Deux méthodes sont proposées pour l.approximation du système elliptiqueen se basant sur l.approche spectrale de collocation. Concernant le pro-blème point-selle, une nouvelle procédure dite formulation fonction Courant-Tourbillon est proposée a.n d.avoir un système indépendant de la pressionp. L.approche spectrale de Galerkin est adaptée où les nouvelles variables</w:t>
        <w:br/>
        <w:br/>
        <w:t>courant   et tourbillon ! sont évaluées une fois avec le poids de Legendre etpuis avec celui de Tchebyche¤.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