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Relations immunocortico-gonadotropes dans un environnement nociceptif stress et pollution chez la ratte gestante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Bairi; Abdelmadjid/ Univérsite De Annaba/ Guelati, M./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ammonitrate/ stimulation antigénique/ la ratte gestante./ </w:t>
            </w:r>
          </w:p>
        </w:tc>
      </w:tr>
    </w:tbl>
    <w:p>
      <w:pPr>
        <w:pStyle w:val="Heading3"/>
      </w:pPr>
      <w:r>
        <w:t>Résumé :</w:t>
      </w:r>
    </w:p>
    <w:p>
      <w:r>
        <w:t>l'administration orale d'ammonitrate, le stress éther et la stimulation antigénique provoquent chez la ratte gestante des variations immunitaires, hormonales et altèrent les capacités reproductrices.une activation positive du systéme immunitaire est notée lors de la stimulation et l'administration du xénobiotique , et une immunodepression lors du stress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