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l'activité ovariènne et de sa stimulation pendant l'anoestrus saisonnier chez la brebis Ile de france .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Oussaid; Belkacem/ Université de Pierre et Marie Curie/ Thibault,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39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bibliogr.p.01.11.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Thèse 3ème cycle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Paris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l'activité ovariènne/ l'anoestrus saisonnier/ la brebis Ile de france ./ </w:t>
            </w:r>
          </w:p>
        </w:tc>
      </w:tr>
    </w:tbl>
    <w:p>
      <w:pPr>
        <w:pStyle w:val="Heading3"/>
      </w:pPr>
      <w:r>
        <w:t>Résumé :</w:t>
      </w:r>
    </w:p>
    <w:p>
      <w:r>
        <w:t>L'anoestrus saisonnier n'apparait pas comme une entité stable sur le plan endocrinien et ovarien au cours de sa manifestation . C'est ainsi qu'on peut distinguer deux états d'anoestrus :</w:t>
        <w:br/>
        <w:br/>
        <w:t>- Anoestrus " léger "</w:t>
        <w:br/>
        <w:br/>
        <w:t>- Anoestrus " profond "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