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Evaluationde l'activite d'un insecticide inorganique, l'acide borique à l'égard de blatella germanica (dictyoptera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Kilani-morakchi; Samira/ Aribi, N./ Université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résidus/ résistance ./ blattella germanica/ ingestion/ acide borique/ tube digestif/ </w:t>
            </w:r>
          </w:p>
        </w:tc>
      </w:tr>
    </w:tbl>
    <w:p>
      <w:pPr>
        <w:pStyle w:val="Heading3"/>
      </w:pPr>
      <w:r>
        <w:t>Résumé :</w:t>
      </w:r>
    </w:p>
    <w:p>
      <w:r>
        <w:t>Les blattes transportent de nombreux microorganismes pathogènes, participent à un ensemble de facteurs allergents et contribuent à la détérioration des denrées .blattella germanica (dictyoptera blattellidae )., espèce domestique et cosmopolite, est la plus répondue en algérie . le présent travail vise à évaluer l'effet de l'acide borique , composé inorganique , incorporé à la nourriture et administré par voie orale à des doses variant de 1 à 49,6 % (poids/poids) sur les adultes de b. germanica nouvellement exuviés.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