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l'infection du mouton ovis aries par le virus lencemogène bovin BLV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Djilali; Soufiane/ Université Pierre Et Marie Curie/ parodi, A.L./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lymphocyte/ circulation sanguine/ oncogène direct/ interprétation ./ </w:t>
            </w:r>
          </w:p>
        </w:tc>
      </w:tr>
    </w:tbl>
    <w:p>
      <w:pPr>
        <w:pStyle w:val="Heading3"/>
      </w:pPr>
      <w:r>
        <w:t>Résumé :</w:t>
      </w:r>
    </w:p>
    <w:p>
      <w:r>
        <w:t>dans le prolongement de cette discussion, on peut se demander si le lymphocyte b qui héberge le blv et prolifére dans la circulation sanguine, est aussi, la cellule transformée. subitil dans ce cas un effet oncogène direct induit par la présence du provirus dans son gênome? les résultats que nous avons obtenu sont trés en faveur de cette interprétation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