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Biosurveilance de la qualité des eaux du golf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Sifi; Karima/ Soltani, Noureddine/ </w:t>
            </w:r>
          </w:p>
        </w:tc>
      </w:tr>
      <w:tr>
        <w:trPr>
          <w:trHeight w:val="567"/>
        </w:trPr>
        <w:tc>
          <w:tcPr>
            <w:tcW w:type="dxa" w:w="3000"/>
          </w:tcPr>
          <w:p>
            <w:r>
              <w:t>Nombre de Pages</w:t>
            </w:r>
          </w:p>
        </w:tc>
        <w:tc>
          <w:tcPr>
            <w:tcW w:type="dxa" w:w="7000"/>
          </w:tcPr>
          <w:p>
            <w:r>
              <w:t>237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bibliogr.p.p.167.195.-résume arabe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biomarqueur/ croissance/ pollution ./ bioindicateur/ composition biochimique/ Domax trunculus/ golfe d'Annaba/ Ecotoxicologie, Biosurveillance/ stress environnemental/ </w:t>
            </w:r>
          </w:p>
        </w:tc>
      </w:tr>
    </w:tbl>
    <w:p>
      <w:pPr>
        <w:pStyle w:val="Heading3"/>
      </w:pPr>
      <w:r>
        <w:t>Résumé :</w:t>
      </w:r>
    </w:p>
    <w:p>
      <w:r>
        <w:t>L"effet d'un xénobiotique, l'acide borique, insecticide inorganique administré par voie orale sous forme d'un mélange alimentaire dans les proportions (Poids / Poids) à une dose de 39,67 % (DL50 à 72 heures), a été évalué respectivement sur la structure du tube digestif, l'inhibition d'un site cible l'acétylcholinestérase, l'activité d'une enzyme de détoxification la lactate déshydrogénase, chez des adultes mâles et femelles de deux souches de Blattella germanica (Dictyoptera : Blattellidae) provenant d'Annaba (Algérie ) et de Dijon (France° L'étude structurale du tube digestif montre que  l'acide borique induit une altération de la structure de l'intestin. L'intestin antérieur présente une désorganisation des cellules épithéliales, alors que, la cuticule, la lame basale et la gaine musculo-conjonctive restent intactes. Au niveau de l'intestin moyen l'examen microscopique montre un allongement et un éclatement des cellules épithéliales, un élargissement des espaces intercellulaires, une prolifération des cryptes de régénération et une désagrégation de la membrane péritrophique, la lame basale et la gaine musculo-conjonctive. L'intestin postérieur, par contre, ne montre aucune modification histopathologique.L'analyse des taux de l'acétylcholinestérase révèle une inhibition de cette enzyme par l'acide borique chez les adultes mâles et femelles de B. germanica au sein des deux souches. Cependant, aucune différence significative entre les deux sexes n'a été observée. De plus, la souche d'Annaba considérée comme résistante présente des taux d'AchE et une insensibilité à l'inhibition respectivement de 1,6 et 1,9 fois supérieurs à ceux de la souche de Dijon, considérée comme sensiblEnfin, le dosage de l'activité de la lactate déshydrogénase chez les adultes mâles de B. germanica montre une élévation du taux de cette enzyme de détoxification chez les individus traités par l'acide borique, avec des taux 2 fois plus élevés chez la souche d'Annaba comparativement à la souche de Dijon.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