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potentialités fourragéres de la région d'el ayoune en vue d'un renforcement de la population en cerf de barbarie (cervus elaphus barbarus) au niveau du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Arbouche-Debbache; Halima Saadia/ Ouzrout, R./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bibliogr.p.p.119-126.-résume en arabe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renforcement/ potentialités fourragères/ abroutissement/ cerf de Barbarie/ espèces végétales/ valeur énergétique./ </w:t>
            </w:r>
          </w:p>
        </w:tc>
      </w:tr>
    </w:tbl>
    <w:p>
      <w:pPr>
        <w:pStyle w:val="Heading3"/>
      </w:pPr>
      <w:r>
        <w:t>Résumé :</w:t>
      </w:r>
    </w:p>
    <w:p>
      <w:r>
        <w:t>La notion de renforcement de population mène obligatoirement à l'évaluation des potentialités fourragères de la zone à repeupler. Le régime alimentaire passe par des préférences d'abroutissement des espèces que l'on se doit de caractériser du point de vue valeur nutritive. La détermination des espèces prélevées par le cerf de Barbarie (Cervus elaphus barbarus, Bennett 1833) dans la zone d'El- Ayoune (Parc National d'El- Kala, Algérie) a été faite par observation directe durant une année. A partir de leur composition chimique et de leur stade phénologique, on évalue leur valeur énergétique exprimée en unité cerf telle que proposée par Brelurut et al. (1990). Il ressort que les éléments les plus valorisants du point énergétique sont les végétaux de la strate herbacée et les glands de chêne liège (Quercus suber). Pour la strate arbustive, l'arbousier (Arbustus unedo) est classé en tête de liste avec une valeur énergétique comparable à celle des fourrages verts du type graminées, suivent ensuite la bruyère (Erica arborea), le pistachier lentisque (Pistacia lentiscus) et la filaire (Phillyrea augustifolia) avec des valeurs énergétiques comparables aux foins de graminées. Les autres espèces arbustives sont comparables à la valeur énergétique des pailles de céréales, n'assurent ainsi que les besoins d'entretien.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