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d'un ravageur des forêts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Ouakid; Mohamed laid/ Univérsite De Annaba/ Semirh, Mossa/ </w:t>
            </w:r>
          </w:p>
        </w:tc>
      </w:tr>
      <w:tr>
        <w:trPr>
          <w:trHeight w:val="567"/>
        </w:trPr>
        <w:tc>
          <w:tcPr>
            <w:tcW w:type="dxa" w:w="3000"/>
          </w:tcPr>
          <w:p>
            <w:r>
              <w:t>Nombre de Pages</w:t>
            </w:r>
          </w:p>
        </w:tc>
        <w:tc>
          <w:tcPr>
            <w:tcW w:type="dxa" w:w="7000"/>
          </w:tcPr>
          <w:p>
            <w:r>
              <w:t>76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bioécologie/ développement/ l. dispar/ phéromone/ bacillus/ dimilin ./ </w:t>
            </w:r>
          </w:p>
        </w:tc>
      </w:tr>
    </w:tbl>
    <w:p>
      <w:pPr>
        <w:pStyle w:val="Heading3"/>
      </w:pPr>
      <w:r>
        <w:t>Résumé :</w:t>
      </w:r>
    </w:p>
    <w:p>
      <w:r>
        <w:t>Cette étude est une contribution à la connaissance de Lymantna dispar L. (Lepidoptera Lymantriidae) ravageur des suberaies en Algérie. Elle comporte trois chapitre: le premier chapitre précise certains paramètres biologiques de l'insecte aussi bien en laboratoire qu'en forêt. L'action des facteurs écologiques (climatiques et trophiques) sur le développement de l'insecte est abordée dans un second chapitre. Enfin, le troisième chapitre concerne l'activité insecticide du Thuricide HP et du Dimilin à l'égard des lavres et les effets différés de ces insecticides sur les hémocytes et le développement. La biométrie des différents stades de développement a été réalisé au laboratoire dans des conditions contrôlées. L'estimation de la population, le piégeage sexuel et la détermination du cycle biologique du ravageur ont été étudiés dans la forêt de la GOURRAH. La température et la lumière jouent un rôle important dans la ponte et l'éclosion des oeufs. Il semble que l'optimum thermique se situe à 20ّC. Parmi les quatres substrats alimentaires..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