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Variations saisonnières et annuelles de quelques paramètres biométriques et biochimiques chez trois espèces de bivalves pêchées au niveau d'une lagune saumâtre, lac el-mellah, el kala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Nadji; Safia/ khebbeb, M./ Universite badj 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protéines/ croissance/ glucides/ lipides/ ruditapes decussatus/ cardium glaucum/ mytihus galloprovincialis/ lac el-mellah/ acides gras ./ </w:t>
            </w:r>
          </w:p>
        </w:tc>
      </w:tr>
    </w:tbl>
    <w:p>
      <w:pPr>
        <w:pStyle w:val="Heading3"/>
      </w:pPr>
      <w:r>
        <w:t>Résumé :</w:t>
      </w:r>
    </w:p>
    <w:p>
      <w:r>
        <w:t>cette étude ,porte sur les associations très intimes qui existent entre les variations saisonnières et le devenir des différents constituants biochimiques (glucides, protéines, et lipides ) du manteau de trois espèces de bivalves comestibles: la palourde (ruditapes decussatus) et la coque (cardium glaucum ) pêchés de novembre 2002 à octobre 2003 au niveau des stations sud et est du lac el-mellah, et la moule (mytihus galloprovincialis ) provenant des tables mytilicoles (élevage ).provenant des tables mytilicoles (élevage ).de plus la croissance de ces trois espèces est également abordée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