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L'effet d'un cortico-bloquant"le ketoconazole" chez un modele animale depressif (rat wistar)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Attoui; Nawel/ Bairi, A madjid/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Conduites émotionnelles relative à l'anxiété/ rats séparés-le cortico/ bloquant/ ketoconazole./ </w:t>
            </w:r>
          </w:p>
        </w:tc>
      </w:tr>
    </w:tbl>
    <w:p>
      <w:pPr>
        <w:pStyle w:val="Heading3"/>
      </w:pPr>
      <w:r>
        <w:t>Résumé :</w:t>
      </w:r>
    </w:p>
    <w:p>
      <w:r>
        <w:t>Notre travail est basé sur étudier les conduites émotionnelles relative à l'anxiété et  la peur chez lesrats.</w:t>
        <w:br/>
        <w:br/>
        <w:t>Les résultats obtenues montre que les rats séparés (stresses) présentent une faible d'anxiété par rapport les rats témoins (contrôles) avant le traitement Mais après le traitement avecle cortico-bloquant «ketoconazole»les rats stresses</w:t>
        <w:br/>
        <w:br/>
        <w:t>montre une fort d’anxiété comme les rats témoins.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