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rebuts de dattes dans des rations pour ovins.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Mebirouk Boudechiche; Lamia/ Ouzrout, Rachid/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Algerie,alimentation animale, agneaux, brebis, dattes communes, rebuts de dattes./ </w:t>
            </w:r>
          </w:p>
        </w:tc>
      </w:tr>
    </w:tbl>
    <w:p>
      <w:pPr>
        <w:pStyle w:val="Heading3"/>
      </w:pPr>
      <w:r>
        <w:t>Résumé :</w:t>
      </w:r>
    </w:p>
    <w:p>
      <w:r>
        <w:t>le présent travail a pour objectif de contribuer à la résolution d'un problème d'ordre économique qui est l'amélioration de la productivité animale par la maîtrise de l'alimentation via la valorisation de ressources "autochtones" et disponibles , amenant à promouvoir l'association productions végétales/ élevage .parmi ces ressources à valoriser : les dattes communes et leurs rebuts qui font l'objet de ce présent travail visant d'ube part, une préservation de l'énvironnement oasien représenté par son patrimoine phoeniciole et d'autre part une valorisation de ces ressources en alimentation animale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