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variations des reponses metabolique, endocrinienne et immunitaire chez des individus hommes apres un accident de la circulation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Brahimi; Leila/ Boulakoud, M.S./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metabolique/ endocrinienne/ mmunitaire/ la circulation ./ </w:t>
            </w:r>
          </w:p>
        </w:tc>
      </w:tr>
    </w:tbl>
    <w:p>
      <w:pPr>
        <w:pStyle w:val="Heading3"/>
      </w:pPr>
      <w:r>
        <w:t>Résumé :</w:t>
      </w:r>
    </w:p>
    <w:p>
      <w:r>
        <w:t>Quel que soit l'évènement traumatisant, son intensité, sa durée, l'individu riposte par une mise en marche de deux systèmes indissociables, le système nerveux et le système endocrinien.L'étude menée sur des hommes accidentés de la route, révèle une perturbation métabolique, où une augmentation de la glycémie a été enregistrée. Cette augmentation s'explique par la libération au niveau sympathique, de l'adrénaline mobilisant ainsi le stock énergétique du corps. Le dosage hormonal du cortisol et de la testostérone sur les mêmes personnes, a montré des niveaux faibles de cortisol et de testostérone qui sont expliqués par une hypersensibilité des récepteurs au niveau hypothalamique.Tous ces changements biochimiques et hormonaux peuvent entraîner certaines pathologies irrévocables.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