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secondaires de deux acaricides (apivar et apiguard) sur les abeilles ouvrières d'apis mellifera intermissa      (aspects biochimiques, enzymatiques).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Chaabane; Merièm/ Aribi, Ndia/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physiologie/ métabolites/ acétylcholinestérase/ acaricides/ développement/ abeilles/ glutahion-s-transférase ./ </w:t>
            </w:r>
          </w:p>
        </w:tc>
      </w:tr>
    </w:tbl>
    <w:p>
      <w:pPr>
        <w:pStyle w:val="Heading3"/>
      </w:pPr>
      <w:r>
        <w:t>Résumé :</w:t>
      </w:r>
    </w:p>
    <w:p>
      <w:r>
        <w:t>dazns le but d'évaluer les effets secondaires des acaricides chez a.mellifera,l'amitraze( apivar), un acaricide chimique et le thymol (apiguard) un acaricide naturel (à base d'huile essentie1) ont été testés au cours des trois stades de développement et leurs effets secondaires ont été évalués sur la composition biochimique (protéines, lipides, glucides) dans l'hémolymphe et dans le corps entier d'une part et d'autre part sur l'activité spécifique de l'acétylcholinestérase et le glutathion-s- transférase .l'analyse statistique des résultats obtenus montre une diminution hautement significative, très significative ou significative dans la concentration en protéines, glucides et lipides dans l'hémolymphe et dans le corps chez les ouvrieres traitées par l'amitraze; à l'opposé, l'acaricide naturel n'induit aucune différence significative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