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bacillus thuringiensis sur l'inte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Habes; Dahbia/ Univérsite De Annaba/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bibliogr.p.p.71.83.- 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glucides/ thaumetopoea pityocampa/ lipides/ bacillus thuringiensis/ intestin moyen/ hémocytes/ tréhalose/ pattern protéique ./ </w:t>
            </w:r>
          </w:p>
        </w:tc>
      </w:tr>
    </w:tbl>
    <w:p>
      <w:pPr>
        <w:pStyle w:val="Heading3"/>
      </w:pPr>
      <w:r>
        <w:t>Résumé :</w:t>
      </w:r>
    </w:p>
    <w:p>
      <w:r>
        <w:t>l'effet de bacillus thuringiensis, administré par ingestion à une dose de 1%, a été examiné respectivement sur la structure de l'intestin moyen, l'hémogramme et les divers constituants hémolymphatiques chez les larves de thaumetopoea pityocampa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