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d'un insecticide inorganique , l'acide borique, al' egard dun modele a interet medical ( blattella germanica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Habes; Dahbia/ Soltani, M.n/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 d'etat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inventaire/ toxicité/ Biométrie/ résidus/ ingestion/ p.americana/ b. orientalis/ b.germanica/ acide borique/ structure de l'intestin/ biomarqueurs ./ </w:t>
            </w:r>
          </w:p>
        </w:tc>
      </w:tr>
    </w:tbl>
    <w:p>
      <w:pPr>
        <w:pStyle w:val="Heading3"/>
      </w:pPr>
      <w:r>
        <w:t>Résumé :</w:t>
      </w:r>
    </w:p>
    <w:p>
      <w:r>
        <w:t>les blattes sont des insectes nuisibles du fait de leur tendance à proliférer et  de leur facilité d'adaptation. elles peuvent véhiculer et transmettrent des agents pathogènes. en algérie peu d'informations existent sur ces insectes. cette étude comporte dans un premier temps : un inventaire des blattes domestiques dans la région de annaba, réalisé dans différents sites (hôpitaux, immeubles, restaurants, boulangeries et magasins). les échantillons récoltés ont été identifiés à l'aide des clés de déterminations de chopard (1943) et cornwell (1968) et trois espèces ont été recensées: periplaneta americana, blatta orientalis et blattella germanica. b.germanica est la plus importante, a été retenue pour la suite des recherches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