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diversité morphométrique des populations d'abeilles domestiques du sud et comparaison avec celles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Hassina/ University badji mokhtar/ Achou, M./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apis mellifera intermissa/ hybrides/ Apis mellifera sahariensis/ Etude morphométrique comparaison/ variation biogéographique./ </w:t>
            </w:r>
          </w:p>
        </w:tc>
      </w:tr>
    </w:tbl>
    <w:p>
      <w:pPr>
        <w:pStyle w:val="Heading3"/>
      </w:pPr>
      <w:r>
        <w:t>Résumé :</w:t>
      </w:r>
    </w:p>
    <w:p>
      <w:r>
        <w:t xml:space="preserve">Une  étude  biométrique a été réalisé sur des abeilles ouvrières domestiques prélevées dans 11 sites du Sud Algérien situés dans l'étage bioclimatique aride (Wilaya Laghouat) et saharien (Wilaya Béchar). Sur chaque site, entre 45 et 60 abeilles ont été prélevées aléatoirement, ce qui représente un total de 567 abeilles.Pour chaque abeille, 19 caractères morphologiques ont été mesurés.Par ailleurs, une étude comparative entre les abeilles du Sud et celles du Nord-est algérien a été faite pour ressortir les différences et les points communs entre ces abeilles et ainsi retrouver d'éventuels écotypes.Les moyennes des caractères morphologiques ont été analysées par des méthodes statistiques afin de  déterminer le domaine de variation des populations d'abeilles.Ces analyses ont révélé </w:t>
        <w:br/>
        <w:br/>
        <w:t xml:space="preserve"> l'existence des variations morphologiques entre les abeilles de l'ensemble des ruchers du Sud. Concernant l'étude  comparative, nous avons remarqué des grandes différences morphologiques entre les abeilles du Sud et les abeilles du Nord-est dû à l'existence du gradient Nord-Sud selon des règles écologiques de Bergman et d'Allen énoncées et qui stipulent que les races des climats froids tendent à être plus grandes que les races de la même espèce vivant dans des climats chauds. Ceci  indique  l'existence d'une variation biogéographique au sein de notre race locale.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