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ecophysiologique, systématique et lutte intégrée contre les drosophiles, vecteurs de la pourriture grise dans les cultures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Bensafi-Gheraibia; Hanène/ Ouakid, laid/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drosophila melanogaster/ saponines/ spinosad/ l'Azadiractine./ </w:t>
            </w:r>
          </w:p>
        </w:tc>
      </w:tr>
    </w:tbl>
    <w:p>
      <w:pPr>
        <w:pStyle w:val="Heading3"/>
      </w:pPr>
      <w:r>
        <w:t>Résumé :</w:t>
      </w:r>
    </w:p>
    <w:p>
      <w:r>
        <w:t>Si le choix  du  matériel  biologique nécessaire à ce travail s'est porté sur la drosophile, c'est qu'elle offre de nombreux avantages. En effet, il s'agit d'une espèce bien connue dans le laboratoire qui s'élève facilement et dont on peut obtenir rapidement un grand nombre d'adultes. Ces conditions facilitent les répétitions et la standardisation indispensables à des études comparatives. Après l'identification de la mouche du vinaigre récupérée à Annaba, Drosophila melanogaster a fait l'objet d'une étude biologique permettant de caractériser la durée du  développement  des  différents  stades  post  embryonnaire  et  d'établir  le potentiel reproducteur de la femelle drosophile. Nous avons aussi étudié le comportement sexuel de la souche de  Annaba et établit les différentes séquences  conduisant à l'accouplement. Afin de lutter contre ces insectes, des essais insecticides à l'égard des larves L3  de D.melanogaster ont été réalisés avec l'utilisation de trois biopesticides ; les Saponines, le Spinosad et l'Azadiractine. A l'issue de cette série de traitements insecticides, on a pu établir une bonne activité larvicide du Spinosad et l'Azadiractine sur la souche de D. melanogaster étudiées, indiquant ainsi des taux de mortalités allant jusqu'à 100 % pour les doses les plus élevée. Quant aux doses sub-létales, elles nous ont permis d'observer des parades sexuelles déficientes et cela indique l'effet inhibiteur du Spinosad et de l'Azadiractine sur le comportement sexuel de  D. melanogaster.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