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Làtude des macro-invertègrès des canx continentales de Lalgèrie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Menai; Rachid/ Samraoui, Boudjéma/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algérie/ distribution/ numidie/ Odonata/ biogéographie/ Nord africain/ phénologie/ </w:t>
            </w:r>
          </w:p>
        </w:tc>
      </w:tr>
    </w:tbl>
    <w:p>
      <w:pPr>
        <w:pStyle w:val="Heading3"/>
      </w:pPr>
      <w:r>
        <w:t>Résumé :</w:t>
      </w:r>
    </w:p>
    <w:p>
      <w:r>
        <w:t>Dans une optique de recherches systématiques, écologiques, biogéographiques et de conservation, nous avons entrepris d'améliorer nos connaissances de la faune des macro-invertébrés des eaux continentales algériennes. Notre mise à jour de l'odonatofaune, étalée sur près de 15 années, a permis d'établir que la richesse spécifique odonatologique de l'Algérie s'élève à 63 espèces dont 49 fréquentent la Numidie (soit 78% du total). De nombreuses erreurs ont été corrigées et une clarification du statut des espèces a été réalisée. Notre étude a également, permis de cartographier la distribution spatiale des espèces et d'améliorer nos connaissances de l'écologie des taxa de l'Afrique du Nord.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