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deux xenobiotiques (cadmium et halofenozide) sur gambusia affinis et evaluation du stress environnemental dans le golfe d'annaba par l'utilisation de donax trunculus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Chouahda; Salima/ Soltani,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croissance/ cadmium/ gambusia affinis/ acétylcholinestérase/ glutathion S-transférase/ donax trunculus/ halofénozide/ insecticide ./ </w:t>
            </w:r>
          </w:p>
        </w:tc>
      </w:tr>
    </w:tbl>
    <w:p>
      <w:pPr>
        <w:pStyle w:val="Heading3"/>
      </w:pPr>
      <w:r>
        <w:t>Résumé :</w:t>
      </w:r>
    </w:p>
    <w:p>
      <w:r>
        <w:t>cette étude s'inscrit dans le cadre d'une biosurveillance de la qualité des eaux du golfe d'annaba par l'utilisation d'un indicateur biologique: biométrie et activités enzymatiques chez une espèce sentinelle donax trunculus (mollusca: bivalvia) récoltée mensuellement au niveau de deux sites: sidi salem et el batah pendant une année (janvier à décembre 2005).cette étude porte aussi sur l'évaluation en conditions du laboratoire de deux xénobiotiques (un insecticide: le halofenozide et un métal lourd: le cadmium), sur la croissance et les activités enzymatiques d'un poisson larvivore gambusia affinis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