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Variation spatio- temporelle de l'activité de trois biomarqueurs du stress environnemental (ACHE, GST et LDH) chez deux espèces de bivalves R. decussatus et C. glaucum (mollusca, bivalvia) provenant de la lagune el- mellah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Abbes; aida/ Soltani,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Fig.;tabl.;tab.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biomarqueurs/ acétylcholinestérase/ glutathion S-transférase/ El-mellah/ ruditapes decussatus/ cardium glaucum/ lactate déshydrogénase/ proteins/ adducteur muscle/ coat/ électrophorèse ./ </w:t>
            </w:r>
          </w:p>
        </w:tc>
      </w:tr>
    </w:tbl>
    <w:p>
      <w:pPr>
        <w:pStyle w:val="Heading3"/>
      </w:pPr>
      <w:r>
        <w:t>Résumé :</w:t>
      </w:r>
    </w:p>
    <w:p>
      <w:r>
        <w:t>Cette étude s'inscrit dans le cadre d'une évaluation spatio-temporelle de l'état de santé globale d'un écosystème lagunaire,  El-Mellah, par l'utilisation d'indicateurs biologiques:paramètres physico-chimiques, croissance et biomarqueurs chez deux espèces sentinelles Ruditapes decussatus et Cardium glaucum (Mollusca, Bivalvia) récoltées mensuellement au niveau de deux stations du lac : Sud et Est pendant une année (mars 2003-février 2004). Les biomarqueurs sont corrélés avec les données physico-chimiques du milieu. Les données physico-chimiques ont mis en évidence des fluctuations temporelles liées aux variations saisonnières dans les deux stations. L'analyse biométrique a montré également des similitudes dans de croissance chez les espèces.Les activités enzymatiques des trois biomarqueurs (AChE, GST et LDH), montrent des variations mensuelles sans effet station. Enfin, la quantification des  protéines au niveau du muscle adducteur et du manteau, le révèle des différences significatives entre espèces et tissus. De plus, l'étude qualitative des protéines par électrophorèse sur SDS-PAGE montre également des différences au niveau du nombre et de l'intensité des fractions protéiques entre les espèces.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