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fecondite des vaches laitieres approche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Sameh/ Guellati, M.a/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produits laitiers/ environnementactivité agricole/ technicoéconomique/ activité agricole./ </w:t>
            </w:r>
          </w:p>
        </w:tc>
      </w:tr>
    </w:tbl>
    <w:p>
      <w:pPr>
        <w:pStyle w:val="Heading3"/>
      </w:pPr>
      <w:r>
        <w:t>Résumé :</w:t>
      </w:r>
    </w:p>
    <w:p>
      <w:r>
        <w:t>L'élevage importante dbovin constitue une voie non négligeable dans 1'activité agricole, dans la mesure oû le lait et les produits laitiers occupent une place ans 1'alimentation humaine. De ce fait, pour satisfaire les besoins de la population en lait et en viande, 1'Algérie a tenté d'augmenter la production laitière par un programme d'intensification de 1'élevage bovin en introduisant des vaches laitières à haut potentiel génétique. Cependant implanté dans un environnement technico-économique différent de celui de leurs pays d'origine, le cheptel importé assurant 45% de la production laitière et seulement 22.65% de production de viande n'a pas donné les résultats escomptes et sa production laitière n'a pas pallié le déficit dont souffre 1'Algérie (I.T.B.O., 1997)./.......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