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Processus de différentation des gonades chez des poissons téléostéens côtiers marins le sar diplodus vulgaris et le marbré lithognathus mormyrus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Lechekhab; Shahnaz/ Univérsite De Annaba/ Djebar, A.B./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Le Sar Diplodus vulgaris/ lithognathus momyrus/ caractère morphologique/ microscopique des gonades ./ </w:t>
            </w:r>
          </w:p>
        </w:tc>
      </w:tr>
    </w:tbl>
    <w:p>
      <w:pPr>
        <w:pStyle w:val="Heading3"/>
      </w:pPr>
      <w:r>
        <w:t>Résumé :</w:t>
      </w:r>
    </w:p>
    <w:p>
      <w:r>
        <w:t>Le Sar Diplodus vulgaris et le Marbré lithognathus momyrus sont des poissons hermaphrodites,ils ne présentent aucun caractère morphologique externe montrant le dimorphisme sexuel,ainsi, ladistinction des sexes se fait grâce à l'étude microscopique des gonades. Nos résultats montent que l'évolution sexuelle des gonades suit un processus précis de différentiation, de phases mâles chez les individus jeunes de petites tailles aux phases femelles chez les individus adultes de grandes tailles passant par une phase d' intersexualité chez les individus de tailles moyennes.De ce fait ces deux espèce sont hermaphrodites protérandriques.Toutefois, nos observations décèlent la présence de grands individus exclusivement mâle ainsi que d' autres de petites tailles exclusivement femelles donnant au Sar et Marbré l' aspect rudimentaire de l' hermaphrodisme protérandrique non équilibré. Les spécimens échantillonnés d' avril 1997à mars 1998 présentent une proportion de trois états sexuels : mâle femelle et bisexué variant selon les deux espèces. chez D. vulgaris le pourcentage annuel des individus bisexué est dominant avec 62,5% suivi de celui des mâles avec 20,83% puis les femelles avec 16,66%. Chez L.mormyrus ce sont les femelles qui dominent avec 45%, les individus bisexué représentent 30%et enfin les mâles avec 25%. Les trois états sexuels se répartissent en fonction de leurs tailles .Les mâles se rencontrent exclusivement dans les classes de tailles inférieures : de 110 à119 mm chez D. vulgaris  et de 120 à 129 mm chez L.mormyrus .Les individus bisexués sont présents dans le reste des classes de tailles moyennes et les femelles occupent exclusivement les classes de tailles supérieures:de 270 à 279 mm jusqu' à de 320 à 329 mm chez D.vulgaris et de 260 à 269 mm jusqu'à 280 à 289 mm chez L. mormyrus. Les variations mensuelles des valeures moyennes du R.G.S. ainsi que l 'étude de la maturation des cellules sexuelles nous ont permis de préciser la période de reproduction ,chez D.vulgaris  ou elle en saison froide entre octobre et mars avec une ponte en janvier , alors que chez L. mormyrus elle se fait entre mars et aout avec une ponte en juillet. Les variations mensuelles des valeurs moyennes du R.H.S. et l'évolution des graisses mésentériques, ont montré que L.mormyrus est un poisson de type maigre avec le foie qui joue un rôle primordial dans la reproduction par la mobilisation et le stockage des substances lipidiques énergétiques. quantà D. vulgaris , il fait partie des poissons gras , le stockage de ses réserves lipidiques se fait au niveau de la peau et des muscles.L'approche cytogénétique  a été réalisée sur du sang périphérique, sur du sérum et sur des organes hématopoïétiques (lymphocytes). Pour favoriser l' obtention des cellules métaphasiques, une stimulation des divisions des lymphocytes est obtenue grâce à l'addition de la phytohémagglutinine. L' absence de facteur influe nettement sur la qualité et la quantité des mitoses. Lindex mitotique est plus élevé dans les  études à base de culture cellulaire que dans celles obtenues par des techniques directes. Le traitement antimitotique , par la colchicine est primordial pour assurer l' apparition de cellules métaphasique. Il s' impose après 72h de culture  lorsque  l' augmentation de l'activité mitotique est atteinte. Dans les techniques directes  l' addition de l' agent antimitotique se fait sans inconvénient tant avant qu' après  l'action de broyage. Cet agent est antimitotique se fait sans inconvénient tant avant qu' après l' action de broyage. Cet agent est efficace par injection préalable aux poissons avant de les sacrifier. Nous avons fixé le temps optimal d' action de la colchicine à 4 h dans les préparations à base de cultures cellulaires et à 30 min dans les préparations directes.Le choc  hypotonique constitue le point le plus délicat en cytogénétique de poisson. Nous avons opté pour 5 ml de la solution hypotonique et une durée d' action de 40 à45 min. Une fois les chromosomes dispersés, les mitoses sont fixées , (une préfixation est recommandée) . L'étalement , le mieux estimé, est celui effectué selon la procédure des lames frodes et séchées sur flamme. Il reste donc , la perspective d' améliorer la méthodologie cytogénétique pour réaliser des cartes génétique complètes et mettre en valeur les chromosomes sexuels dans les differents aspects sexuels rencontrés dans le cas d' hermaphrodisme.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