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deux molécules ,le méthoxyfinozide (rh-2485) et le bacillus thuringiensis var.israelensis (vecto bac w.d.g 3000 uti/mg ) à l'égard des larves de culiseta morsitans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Serradj; Nassima/ Rehimi,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moustiques/ culiseta morsitans/ bacillus thuringiensis/ régulateur de croissance/ méthoxyfinozide/ toxicitée ./ </w:t>
            </w:r>
          </w:p>
        </w:tc>
      </w:tr>
    </w:tbl>
    <w:p>
      <w:pPr>
        <w:pStyle w:val="Heading3"/>
      </w:pPr>
      <w:r>
        <w:t>Résumé :</w:t>
      </w:r>
    </w:p>
    <w:p>
      <w:r>
        <w:t>Les insecticides chimiques utilisés abusivement dans la lutte antivectorielle des moustiques a provoqué des effets néfastes pour l'environnement avec l'apparition des espèces résistantes, d'ou l'utilisation de régulateurs de croissance de synthèse et de bioinsecticides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