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l'écologie du Flamant rose Phoenicopterus roseus dans les zones Algérien humides des hautes plaines  de l'Est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Ouldjaoui; Abdeellah/ Samraoui, Boudjéma/ Univercité badji mokhtar/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effectifs/ reproduction ./ flamant rose/ budget temps diurne/ </w:t>
            </w:r>
          </w:p>
        </w:tc>
      </w:tr>
    </w:tbl>
    <w:p>
      <w:pPr>
        <w:pStyle w:val="Heading3"/>
      </w:pPr>
      <w:r>
        <w:t>Résumé :</w:t>
      </w:r>
    </w:p>
    <w:p>
      <w:r>
        <w:t>Entre décembre 2002 et août 2005 nous avons suivi l'évolution des effectifs, le budget temps diurne et l'écologie de la arche, comportement de parade et comportement agressive)  n'occupe que de faible proportion. L'étude de la reproduction montre que le Flamant rose niche dans la région et plus spécialement G.Ezzemoul. reproduction du Flamant rose Phoenicopterus roseus dans  le complexe des zones humides des Hautes Plaines (Hauts Plateaux) du Nord-Est Algérien (appelé souvent  ''Constantinois''. Le nombre recensé du flamant rose dépasse de loin les effectifs évalués au passé. Nous avons enregistré 18150, 21864 et 59135 individus respectivement aux années 2002/2003, 2003/2004 et 2004/2005. L'analyse du budget temps a révélé que le Flamant rose consacre plus de la moitié de son temps diurne à l'alimentation  alors que le reste des activités (sommeil, toilette, vol, 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