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Action de la gentamicine sur les mecanorecepteurs de gambusia affinis. etude anatomique et ul trastructurale 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ould bechiri; Lefghih mouhamed yahia/ Bensouilah, M./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44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Fig.; tabl.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français, arabe et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poisson/ téléostéen/ gambusia affinis ./ </w:t>
            </w:r>
          </w:p>
        </w:tc>
      </w:tr>
    </w:tbl>
    <w:p>
      <w:pPr>
        <w:pStyle w:val="Heading3"/>
      </w:pPr>
      <w:r>
        <w:t>Résumé :</w:t>
      </w:r>
    </w:p>
    <w:p>
      <w:r>
        <w:t>Une étude topographique et anatomique des mécanorécepteurs de la ligne latérale de la tête d'un poisson téléostéen gambusia affinis a été entreprise avant et après exposition de ce dernier à des doses déterminées de gentamicine , un antibiotique aminoglycosidique connu en thérapeutique clinique comme toxique pour les cellules sensorielles ciliées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