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nerveux autonome du ceriux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Nedjar; Khoudir/ Université de Toulouse/ Candau,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Toulouse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brebis/ cervix/ adrénergique/ cholinergique/ motricité/ mucosécrétion ./ </w:t>
            </w:r>
          </w:p>
        </w:tc>
      </w:tr>
    </w:tbl>
    <w:p>
      <w:pPr>
        <w:pStyle w:val="Heading3"/>
      </w:pPr>
      <w:r>
        <w:t>Résumé :</w:t>
      </w:r>
    </w:p>
    <w:p>
      <w:r>
        <w:t>Les variations de la densité des fibres du système nerveux autonome du cervix semblent être partiellement à l'origine des variations de motricité et de mucosécrétion cervicales tout le long du cycle oestral et de la gestation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