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la reproduction et structure genetique de deux populations de mesange bleue parus caeruleus ultramarinus du nord-est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Dadci; Walid/ Chabi, Yassine ./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reproduction/ parus caeruleus ultramarinus/ milieu sempervirent de basse altitude/ milieu caduc de haute altitude/ structure allélique/ différenciation génétique/ migration ./ </w:t>
            </w:r>
          </w:p>
        </w:tc>
      </w:tr>
    </w:tbl>
    <w:p>
      <w:pPr>
        <w:pStyle w:val="Heading3"/>
      </w:pPr>
      <w:r>
        <w:t>Résumé :</w:t>
      </w:r>
    </w:p>
    <w:p>
      <w:r>
        <w:t xml:space="preserve">L'étude de la phénologie de la reproduction chez la Mésange bleue a concernée  deux populations, l'une niche dans un milieu sempervirent de basse altitude, et l'autre dans une forêt caducifoliée de haute altitude, ceci durant deux années consécutives 2003 et 2004 Les résultats obtenus révèlent que les paramètres démographiques présentent quelques différences entre les deux sites dans les deux années. Mais la différence la plus visible concerne le décalage de la date de ponte entre les deux sites.L'analyse des échantillons sanguins montrent que les deux populations étudiées  présentent des différences très hautement significatives sur le point de vue génétique. Par ailleurs, nous avons également détecté des différences marquées dans les structures alléliques chez les populations de basse altitude entre l'année 2003 et 2004. </w:t>
        <w:br/>
        <w:br/>
        <w:t>Enfin, l'analyse inter-régionale entre les populations de Mésange du Sud de la France, de la Corse et du Nord-Est algérien montre que ces dernières sont nettement différenciées, les populations analysées appartenant à trois sous espèces différentes.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