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d'un mimétique des ecdystéroides RH-0345 sur blattella germanica  dictyoptera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Rouibi; Asma/ Universite badji mokhtae/ Aribi, N ./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protéines/ reproduction/ glucides/ lipides/ RH-0345/ B. germanica/ adn ./ </w:t>
            </w:r>
          </w:p>
        </w:tc>
      </w:tr>
    </w:tbl>
    <w:p>
      <w:pPr>
        <w:pStyle w:val="Heading3"/>
      </w:pPr>
      <w:r>
        <w:t>Résumé :</w:t>
      </w:r>
    </w:p>
    <w:p>
      <w:r>
        <w:t>Le rh-0345, agoniste des ecdystéroïdes à structure non stéroïdale, a été utilisé, par application topique, à 10 et 20 , le jour de l'exuviation (0 jour) des femelles adultes de b. germanica (dictyoptera: blattelllidae), insecte à intérêt médical.</w:t>
        <w:br/>
        <w:br/>
        <w:t>le rh-0345, à 10 et 20 µg, évalué, sur différents aspects morphométriques au cours de la maturité sexuelle des femelles adultes (0, 2, 4 et 6 jours) entraîne une réduction significative, avec un effet dose-dépendant, du poids des ovaires, du nombre d'ovocytes mais aussi de la taille et du volume de l'ovocyte basal. l'étude biochimique, réalisée dans les ovaires et l'hémolymphe, des femelles adultes de b. germanica, à 0, 2, 4 et 6 jours, au cours de la maturité sexuelle, révèle que les protéines (dosés par la méthode de braddford, 1976), les glucides (dosés par la méthode de duchateau et florkin, 1959), les lipides (dosés par la méthode de goldsworthy et al., 1972) et l'adn (dosés par la méthode de schneider, 1957) diminuent significativement chez les séries traitées au rh-0345 à 10 et 20 µg comparativement aux séries témoins et ceci avec un effet dose-dépendant.l'éléctrophorèse effectuée sur page - sds (leammli, 1970) montre que les protéines ovariennes et hémolymphatiques, chez les femelles adultes de b. germanica, âgées de 2 jours, ne présente pas de modification du pattern protéique ovarien après traitement par le rh-0345, à 10 et 20 µg; cependant, le pattern des protéines hémolymphatiques est affecté et révèle l'absence de la fraction 4 pour la dose la plus élevée mais également  une différence au niveau de l'intensité des fractions.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