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l'evaluation de la toxicite aigue et subchronique d'un produit phytosanitaire (proclaim )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Zaouani; Mohamed/ Berrebbah, H./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toxicité aigue/ stress oxydatif/ rats ./ Proclaim/ toxicité subchronique/ biomarqueurs  (biochimiques et hematologiques)/ </w:t>
            </w:r>
          </w:p>
        </w:tc>
      </w:tr>
    </w:tbl>
    <w:p>
      <w:pPr>
        <w:pStyle w:val="Heading3"/>
      </w:pPr>
      <w:r>
        <w:t>Résumé :</w:t>
      </w:r>
    </w:p>
    <w:p>
      <w:r>
        <w:t xml:space="preserve">Le présent travail a eu pour but l'évaluation de la toxicité aigue et subchronique de Proclaim®, produit phytosanitaire à base d’Emamectine benzoate chez les rats wistar  mâles.L'étude de la toxicité aigue a permis de calculer la DL 50 du Proclaim à 1300 mg/kg.L'intoxication aigue s'est traduite principalement par des effets neurotoxiques. L'étude de la toxicité subchronique du  Proclaim®, pendant une période de 28 jours avec des concentrations correspondant respectivement à 1/8, 1/16 et 1/32 de la DL50 s'est traduite par une hyperglycémie significative chez l'ensemble des lots traités et une augmentation significative de l'urée et de la créatinine sérique témoignant d'une atteinte des fonctions </w:t>
        <w:br/>
        <w:br/>
        <w:t xml:space="preserve">rénales.Cependant nous n'avons pas enregistré de perturbations significatives au niveau du développement pondéral et  des autres paramètres biochimiques (cholestérol, LDL, HDL,triglycéride,GOT, GPT) et hématologiques (globules blancs,  globules rouges, hématocrite, hémoglobine).L'étude des variations des marqueurs du stress oxydatifs a mis en évidence une diminution importante de l'activité de la catalase et de la GSH hépatique, ainsi qu'une augmentation ignificative des  TBARS, des protéines carbonylées, témoignant l'installation d'un état de </w:t>
        <w:br/>
        <w:br/>
        <w:t xml:space="preserve">stress oxydatif. Les altérations histologiques observées dans notre étude sont caractérisées par l'apparition d'une atteinte structurale au niveau  néphrotique, de lésions tissulaires au niveau de la paroi colique et quelques modifications structurales au niveau du parenchyme hépatique. Après interruption de deux mois de traitement et afin d'évaluer la  persistance ou la réversibilité des effets toxiques précédemment observés, le suivi des paramètres altérés a </w:t>
        <w:br/>
        <w:br/>
        <w:t>permis d'observer une normalisation des valeurs de la glycémie, de la créatinémie et une amélioration notable de l'urémie chez les rats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