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benzène sur la reproduction chez les rattes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Bouzidi; Nardjess/ Guellati, A ./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toxicité hématologique/ potentiel détoxifiant/ benzéne/ administration per os/ atteintes tissulaires/ immunodépression/ effets tératogène ./ </w:t>
            </w:r>
          </w:p>
        </w:tc>
      </w:tr>
    </w:tbl>
    <w:p>
      <w:pPr>
        <w:pStyle w:val="Heading3"/>
      </w:pPr>
      <w:r>
        <w:t>Résumé :</w:t>
      </w:r>
    </w:p>
    <w:p>
      <w:r>
        <w:t>les résultats obtenus ont montré que l'administration per os du benzène aux doses 50;100 et 150mg/kg de poids corporel chez les rattes gestantes wistar, provoque une immunodépression illustrée par la chute du taux des neutrophiles, éosinophiles et monocytes chez les deux lots traités aux doses les plus importantes, et une toxicité hématologique illustrée par l'augmentation des globules rouges, élévation hautement significative de l'hémoglobine et l'hématocrite chez les lots traités à 100 et 150mg/kg de poids corporel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