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Nociceptivité du chlorobenzène et effet sur le potentiel reproducteur chez la ratte wistar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Bouakkaz; Amel/ Guellati, M./ </w:t>
            </w:r>
          </w:p>
        </w:tc>
      </w:tr>
      <w:tr>
        <w:trPr>
          <w:trHeight w:val="567"/>
        </w:trPr>
        <w:tc>
          <w:tcPr>
            <w:tcW w:type="dxa" w:w="3000"/>
          </w:tcPr>
          <w:p>
            <w:r>
              <w:t>Nombre de Pages</w:t>
            </w:r>
          </w:p>
        </w:tc>
        <w:tc>
          <w:tcPr>
            <w:tcW w:type="dxa" w:w="7000"/>
          </w:tcPr>
          <w:p>
            <w:r>
              <w:t>73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potentiel détoxifiant/ chlorobenzène/ effets tératogènes/ administration per os/ atteintes tissulaires/ immunodépression/ rattes gestantes wistar ./ </w:t>
            </w:r>
          </w:p>
        </w:tc>
      </w:tr>
    </w:tbl>
    <w:p>
      <w:pPr>
        <w:pStyle w:val="Heading3"/>
      </w:pPr>
      <w:r>
        <w:t>Résumé :</w:t>
      </w:r>
    </w:p>
    <w:p>
      <w:r>
        <w:t>Notre problématique tend à mettre en évidence l'impact nociceptif  du chlorobenzène sur l'organisme de rats femelles wistar soumises à une gestation. L'administration per os de chlorobenzène à des rattes gestantes, aux doses 100, 200 et 300 mg/Kg de poids corporel, provoque une toxicité tissulaire importante qui se traduit par l'apparition de manière dose - dépendante, de lésions tissulaires  au niveau des organes métabolique (foie), immunitaire (rate et thymus) et excréteur (reins).Cette histopathologie s'accompagne d'une diminution importante du potentiel détoxifiant de l'organisme ; celle ci s'exprimant par une chute du taux de GSH hépatique et une augmentation du taux de GST particulièrement à la dose la plus importante. Les résultats obtenus révèlent également une toxicité hématologique associée à une immunodépression en particulier chez les lots traités aux doses les plus importantes.Enfin, l'absorption du chlorobenzène  engendre une diminution significative des taux d'estradiol et notamment en fin de gestation ce qui corrobore significativement la diminution du taux de fertilité de manière dose - dépendante, associée à une augmentation du taux d'embryoléthalité. La toxicité du chlorobenzène affecte également le développement embryonnaire des fœtus en induisant de manière très hautement significative, une diminution du poids fœtal et de la taille du squelette.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