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Relation entre xénobiotiques de type hydrocarbures et le potentiel reproducteur chez le rat femelle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Sakraoui; Feriel/ Djebbar, Mohamed Réda/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chlorobenzène/ effets tératogènes/ benzéne/ administration per os hémotoxicité/ histopathologie/ potentiel/ détoxifiant/ rattes gestantes wistar./ </w:t>
            </w:r>
          </w:p>
        </w:tc>
      </w:tr>
    </w:tbl>
    <w:p>
      <w:pPr>
        <w:pStyle w:val="Heading3"/>
      </w:pPr>
      <w:r>
        <w:t>Résumé :</w:t>
      </w:r>
    </w:p>
    <w:p>
      <w:r>
        <w:t>Notre problématique tend à mettre en évidence l'impact nociceptif  du benzène et du chlorobenzène, représentants les plus connus de la famille des hydrocarbures, sur l'organisme de rats femelles wistar soumises à une gestation. L'administration per os de benzène aux doses 50, 100 et 150 mg/Kg de poids corporel, et de chlorobenzène aux doses 100, 200 et 300 mg/Kg de poids corporel, provoque une perturbation pondérale importante au niveau des organes métabolique (foie), immunitaire (rate) et excréteur (rein), associée à une histopathologie qui se traduit par l'apparition de manière dose - dépendante, d'importantes altérations tissulaires. Les résultats obtenus illustrent également une diminution significative du potentiel détoxifiant et une hématotoxicité maternelle en particulier chez les lots traités aux doses les plus importantes.Par ailleurs, les résultats obtenus montrent une diminution significative des taux d'estradiol, notamment en fin de gestation, ce qui corrobore significativement la diminution du taux de fertilité et l'augmentation de l'embryoléthalité. Enfin, l'intoxication au benzène et au chlorobenzène affecte le développement embryonnaire des fœtus en induisant une diminution du poids fœtal et de la taille du squelette.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