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l'écologie alimentaire des poussins de la mésange bleue (parus caeruleus ultramarinus) dans les chénaies sempervientes du parc national d'El Kala (nord-est-Algerien)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Sakraoui; Feriel/ Universite de Badji Mokhtar/ Chabi, Y./ </w:t>
            </w:r>
          </w:p>
        </w:tc>
      </w:tr>
      <w:tr>
        <w:trPr>
          <w:trHeight w:val="567"/>
        </w:trPr>
        <w:tc>
          <w:tcPr>
            <w:tcW w:type="dxa" w:w="3000"/>
          </w:tcPr>
          <w:p>
            <w:r>
              <w:t>Nombre de Pages</w:t>
            </w:r>
          </w:p>
        </w:tc>
        <w:tc>
          <w:tcPr>
            <w:tcW w:type="dxa" w:w="7000"/>
          </w:tcPr>
          <w:p>
            <w:r>
              <w:t>69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3O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mésange bleue/ parus caeruleus/ ressources alimentaires/ région d'el-kala/ habitat forestier ./ </w:t>
            </w:r>
          </w:p>
        </w:tc>
      </w:tr>
    </w:tbl>
    <w:p>
      <w:pPr>
        <w:pStyle w:val="Heading3"/>
      </w:pPr>
      <w:r>
        <w:t>Résumé :</w:t>
      </w:r>
    </w:p>
    <w:p>
      <w:r>
        <w:t>Les traits d'histoire de vie de la mésange bleue parus caeruleus ultramarinus sont largement déterminés par la disponibilité des ressources alimentaires durant la saison de reproduction les résultats obtenus durant une saison d'observation, c'est à dire le printemps 1999, dans un habitat forestier sempervirent de la région d'el-kala, nous ont permis de vérifier plusieurs hypothèses concernant l'adaptation du modèle étudié aux contraintes du milieu exploité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