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insecticide de deux composés (benfuracarbe, acétamipride) chez blattella germanica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Maiza nedjoua; Amel/ Aribi,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blattella germanica/ glucides/ carbamate/ néonicotinoide/ lipides acétylcholinestérase/ lactate déshydrogénase ./ </w:t>
            </w:r>
          </w:p>
        </w:tc>
      </w:tr>
    </w:tbl>
    <w:p>
      <w:pPr>
        <w:pStyle w:val="Heading3"/>
      </w:pPr>
      <w:r>
        <w:t>Résumé :</w:t>
      </w:r>
    </w:p>
    <w:p>
      <w:r>
        <w:t>Le benfuracarbe ( carbamate ) et l'acétamipride (néonicotinoide) ont été administrés in vivo, par ingestion sous forme d'un mélange alimentaire (poids/poids) à une dose de 2% (dl50), le jour de l'exuviation, des adultes mâles et femelles de blattella germanica, (dictyoptera :blattellidae ); les effets ont été évalués dans les ovaires sur des paramètres morphométriques (nombre d'ovocytes, longueur, largeur et volume de l'ovocyte basal ) d'une part et biochimiques (protéines, glucides et lipides) d'autre part , au cours d'un cycle gonadotrophique des adultes femelles de b. germanica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