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des talus et ouvrages de gennie-civil par auscultation topographique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Saihia; Abdallah/ Serradj, T./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topographique/ le glissement de terrain/ conséquence d'aide/ barrage de bounamoussa ./ </w:t>
            </w:r>
          </w:p>
        </w:tc>
      </w:tr>
    </w:tbl>
    <w:p>
      <w:pPr>
        <w:pStyle w:val="Heading3"/>
      </w:pPr>
      <w:r>
        <w:t>Résumé :</w:t>
      </w:r>
    </w:p>
    <w:p>
      <w:r>
        <w:t xml:space="preserve">L'objet d'étude du présent travail est l'étude du glissement de terrain qui représente l'un des six types de catastrophes naturelles (éruption volcanique, cyclone, séisme, sécheresse, glissement de terrain, inondation).Le terme " catastrophe " exprime un évènement  brutal, d'origine naturelle ou humaine, ayant la mort et la destruction à grande échelle pour conséquence. Parmi les désastres les plus meurtriers du 20ème siècle, on pourrait citer le glissement de terrain qui a fait 12 000 morts en URSS en 1949. (Banque Mondiale, CRED). Mais bien sûr, tous les glissements de terrain n'ont pas autant d'effets catastrophiques. En effet, le glissement de terrain est un mouvement d'une masse de terrain d'épaisseur et d'extension variable le long d'une surface de rupture. L'ampleur du mouvement, sa vitesse et le volume de matériaux mobilisé varie considérablement dans l'espace et dans le temps. Aussi, un glissement de terrain pourrait affecter un versant sur quelques mètres, comme sur plusieurs dizaines de mètres voire sur la centaine de mètre.En terme de vitesse, le glissement est un déplacement généralement lent  mais un évènement naturel exceptionnel (des pluies torrentielles successives par exemple) ou les actions humaines peuvent l'accélérer. Des indices caractéristiques peuvent être observés dans les glissements de terrain actifs : niche d'arrachement, fissures, bourrelets, arbres bousculés, zone de rétention d'eau, etc.S'il est impossible de lutter contre les forces de la nature, l'homme a la capacité de développer les moyens et les techniques pour diminuer leurs impacts négatifs. En 2007,  les connaissances scientifiques et technologiques permettent de connaître les processus en oeuvre, de mesurer l'ampleur du glissement, de suivre dans le temps la dynamique des terrains, et par voie de conséquence d'aider à mettre en place des stratégies d'approches et d'intervention efficace. </w:t>
        <w:br/>
        <w:br/>
        <w:t>Actuellement il existe des méthodes très modernes, rapides et moins coûteuses qui permettent le suivi de la dynamique des terrains ; ce sont les mesures par la Géodésie Spatiale (GPS, IRSP, SLR). Le GPS  à mesures de précision, l'Interférométrie Différentielle appelée aussi  IRSP (Interférométrie Radar Satellitaire de Précision) et le SLR (Satellite Laser Ranging) sont des méthodes qui peuvent couvrir de très grandes surfaces allant de quelques hectares à des milliers d'hectares, cela dépend de l'intérêt de la mesure. Ainsi, une périodicité de mesures trimestrielles suffit pour suivre l'évolution des glissements de terrain des zones en question, que ce soit pour le GPS ou pour l'Interférométrie pour les prises d'images de toute la  région ou des zones.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