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réserves des forces de traction des convoyeurs a bande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Belhamra; Ali/ Snovedski,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bibliogr.p.p.132.135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l'exploitation minière/ le tambour moteur/ des conditions d'exploitation 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résumant les résultats des recherches entreprises dans le cadre de cette présonte thèse on ayaneera suivantes : 1) le perfeotionnement de l'équipement minier a activé l'exploitation minière  . On transporte actuellement plus de 10 milliards de tonnes de masses abatttres par différents moyens de transport et à lui seul le convoyeur à baande le déplacement de plus de 50% de toute la musse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