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réserves des forces de traction des convoyeurs a bande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Belhamra; Ali/ Snovedski,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bibliogr.p.p.132.135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l'exploitation minière/ le tambour moteur/ des conditions d'exploitation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résumant les résultats des recherches entreprises dans le cadre de cette présonte thèse on ayaneera suivantes : 1) le perfeotionnement de l'équipement minier a activé l'exploitation minière  . On transporte actuellement plus de 10 milliards de tonnes de masses abatttres par différents moyens de transport et à lui seul le convoyeur à baande le déplacement de plus de 50% de toute la musse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