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Alteration supergène de minéralisations fécrifères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Sornein; Jean-Francois/ Université de paris/ Phan, K.D./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minéralisations ferrifères/ de sain-bel (rhône)/ les chapeaux de fer ./ </w:t>
            </w:r>
          </w:p>
        </w:tc>
      </w:tr>
    </w:tbl>
    <w:p>
      <w:pPr>
        <w:pStyle w:val="Heading3"/>
      </w:pPr>
      <w:r>
        <w:t>Résumé :</w:t>
      </w:r>
    </w:p>
    <w:p>
      <w:r>
        <w:t>L'altération supergène des minéralisations ferrifères est abordée à partir de l'étude des formations oxydées du gisement carbonaté de batere (pyrénées orientales) et du gisement sulfuré de sain-bel (rhône). l'édification des formations altérées est suivie pas à pas à partir d'observations micrographiques appuyées par les méthodes physiques classiques (diffraction x, microsonde, analyses chimiques des éléments en traces) . les mécanismes géochimiques de l'altération sont démontrés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