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Efficiency of mining electrical variable speed drive systems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Saad; Salah/ Université de Nottingham/ </w:t>
            </w:r>
          </w:p>
        </w:tc>
      </w:tr>
      <w:tr>
        <w:trPr>
          <w:trHeight w:val="567"/>
        </w:trPr>
        <w:tc>
          <w:tcPr>
            <w:tcW w:type="dxa" w:w="3000"/>
          </w:tcPr>
          <w:p>
            <w:r>
              <w:t>Nombre de Pages</w:t>
            </w:r>
          </w:p>
        </w:tc>
        <w:tc>
          <w:tcPr>
            <w:tcW w:type="dxa" w:w="7000"/>
          </w:tcPr>
          <w:p>
            <w:r>
              <w:t>248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Nottingham</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the energy crisis/ consider the emphasis ./ </w:t>
            </w:r>
          </w:p>
        </w:tc>
      </w:tr>
    </w:tbl>
    <w:p>
      <w:pPr>
        <w:pStyle w:val="Heading3"/>
      </w:pPr>
      <w:r>
        <w:t>Résumé :</w:t>
      </w:r>
    </w:p>
    <w:p>
      <w:r>
        <w:t>The energy crisis and the resultant increase in the cost of electricity has caused theelectric drive user, consultant and manufacturer all to consider the emphasis placed on efficiency when applying electric drive systems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