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des mines souterraines par les méthodes numériques . cas de la mine de chaabet el hamra _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Nekache; Radouane/ Bounouala, Mouhamed/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 .;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stabilité/ mine chaabet el hamra/ affaissement/ effondrement/ plaxis 3d ./ </w:t>
            </w:r>
          </w:p>
        </w:tc>
      </w:tr>
    </w:tbl>
    <w:p>
      <w:pPr>
        <w:pStyle w:val="Heading3"/>
      </w:pPr>
      <w:r>
        <w:t>Résumé :</w:t>
      </w:r>
    </w:p>
    <w:p>
      <w:r>
        <w:t>Le travail présenté dans ce mémoire est motivé par la problématique ci-dessous: l'après-mine: après une période d'exploition intense des mines souterraines, l'algérie et les pays du monde sont confrontés aux problèmes posés par la fermeture et l'abandon de ces ouvrages, notamment leur stabilité mécanique sous l'effet des vides exploités et d'une remontée progressive des eaux souterraines apès l'arrêt des pompages d'exhaure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