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facteurs géologiques et miniers sur le soutirage conditions de la mine de Ain-Mimoun Khenchla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Benbouza; Mekki/ Bourouh, A./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minerai/ souterraines/ des gisements/ des espaces exploités ./ </w:t>
            </w:r>
          </w:p>
        </w:tc>
      </w:tr>
    </w:tbl>
    <w:p>
      <w:pPr>
        <w:pStyle w:val="Heading3"/>
      </w:pPr>
      <w:r>
        <w:t>Résumé :</w:t>
      </w:r>
    </w:p>
    <w:p>
      <w:r>
        <w:t>Les travaux de recherche entrepris dans le cadre de le présente étude ont permis d'aboutir aux conclusions et recommandations suivantes : un des objectifs principaux de l'exploitation rationelle des gisements par les méthodes souterraines est d'avoir une extraction compléte du minerai tout en assurant pour des raisons de sécurité la stabilité des espaces exploités, ce qui peut être atteint en mines contemporaines du monde par un bon écoulement du minerai à travers les orifices lors de l'opération de soutirage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