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Recherche d'une méthode rationnelle de traitement du minerai hematitique (pauvre) de l'Ouenza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Krim; Mansour/ Merabet, D./ </w:t>
            </w:r>
          </w:p>
        </w:tc>
      </w:tr>
      <w:tr>
        <w:trPr>
          <w:trHeight w:val="567"/>
        </w:trPr>
        <w:tc>
          <w:tcPr>
            <w:tcW w:type="dxa" w:w="3000"/>
          </w:tcPr>
          <w:p>
            <w:r>
              <w:t>Nombre de Pages</w:t>
            </w:r>
          </w:p>
        </w:tc>
        <w:tc>
          <w:tcPr>
            <w:tcW w:type="dxa" w:w="7000"/>
          </w:tcPr>
          <w:p>
            <w:r>
              <w:t>155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1993</w:t>
            </w:r>
          </w:p>
        </w:tc>
      </w:tr>
      <w:tr>
        <w:trPr>
          <w:trHeight w:val="567"/>
        </w:trPr>
        <w:tc>
          <w:tcPr>
            <w:tcW w:type="dxa" w:w="3000"/>
          </w:tcPr>
          <w:p>
            <w:r>
              <w:t>Sujet(s)</w:t>
            </w:r>
          </w:p>
        </w:tc>
        <w:tc>
          <w:tcPr>
            <w:tcW w:type="dxa" w:w="7000"/>
          </w:tcPr>
          <w:p>
            <w:r>
              <w:t xml:space="preserve">minerai hématitique/ l'ouenza/ teneur en fer ./ </w:t>
            </w:r>
          </w:p>
        </w:tc>
      </w:tr>
    </w:tbl>
    <w:p>
      <w:pPr>
        <w:pStyle w:val="Heading3"/>
      </w:pPr>
      <w:r>
        <w:t>Résumé :</w:t>
      </w:r>
    </w:p>
    <w:p>
      <w:r>
        <w:t>L'utilisation du minerai hématitique pauvre de l'ouenza dans le domaine de sidérurgie est est impossible sans un traitement préalable dont le but principal est l'augmentation de la teneur en fer total aprés un rappel des principes de traitement applicables aux minerais de fer de l'ouenza ( hématite pauvre) et une revue des procédés d'enrichissement pouvant pêtre mis en oeuvre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